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3C3" w14:textId="77777777" w:rsidR="00DE4209" w:rsidRP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209">
        <w:rPr>
          <w:rFonts w:ascii="Arial" w:hAnsi="Arial" w:cs="Arial"/>
          <w:b/>
          <w:bCs/>
          <w:sz w:val="24"/>
          <w:szCs w:val="24"/>
        </w:rPr>
        <w:t>6676 Z1</w:t>
      </w:r>
      <w:r w:rsidR="00CF2994" w:rsidRPr="00DE42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88696" w14:textId="49C72C7F" w:rsidR="00933AB1" w:rsidRDefault="00933AB1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209">
        <w:rPr>
          <w:rFonts w:ascii="Arial" w:hAnsi="Arial" w:cs="Arial"/>
          <w:b/>
          <w:bCs/>
          <w:sz w:val="24"/>
          <w:szCs w:val="24"/>
        </w:rPr>
        <w:t xml:space="preserve">ATTACHMENT </w:t>
      </w:r>
      <w:r w:rsidR="00FE1BC7" w:rsidRPr="00DE4209">
        <w:rPr>
          <w:rFonts w:ascii="Arial" w:hAnsi="Arial" w:cs="Arial"/>
          <w:b/>
          <w:bCs/>
          <w:sz w:val="24"/>
          <w:szCs w:val="24"/>
        </w:rPr>
        <w:t>A</w:t>
      </w:r>
      <w:r w:rsidR="00CF2994" w:rsidRPr="00DE4209">
        <w:rPr>
          <w:rFonts w:ascii="Arial" w:hAnsi="Arial" w:cs="Arial"/>
          <w:b/>
          <w:bCs/>
          <w:sz w:val="24"/>
          <w:szCs w:val="24"/>
        </w:rPr>
        <w:t xml:space="preserve"> – Technical Requirements</w:t>
      </w:r>
    </w:p>
    <w:p w14:paraId="7902DC53" w14:textId="7DCB5455" w:rsid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F4E91" w14:textId="77777777" w:rsidR="00DE4209" w:rsidRP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DE06" w14:textId="7EC5CCF9" w:rsidR="00365ADD" w:rsidRPr="00DE4209" w:rsidRDefault="00365ADD">
      <w:pPr>
        <w:rPr>
          <w:rFonts w:ascii="Arial" w:hAnsi="Arial" w:cs="Arial"/>
        </w:rPr>
      </w:pPr>
      <w:r w:rsidRPr="00DE4209">
        <w:rPr>
          <w:rFonts w:ascii="Arial" w:hAnsi="Arial" w:cs="Arial"/>
        </w:rPr>
        <w:t>Bidder Name: _________________________________________________________________</w:t>
      </w:r>
    </w:p>
    <w:p w14:paraId="79666E0D" w14:textId="6B3E0EB9" w:rsidR="00D13D7D" w:rsidRPr="00DE4209" w:rsidRDefault="00E35645">
      <w:r w:rsidRPr="00DE4209">
        <w:rPr>
          <w:rFonts w:ascii="Arial" w:hAnsi="Arial" w:cs="Arial"/>
        </w:rPr>
        <w:t>Bidder should fully respond to each question in enough detail to allow for comprehensive evaluation of the response.</w:t>
      </w:r>
      <w:r w:rsidR="00F525A4" w:rsidRPr="00DE4209">
        <w:rPr>
          <w:rFonts w:ascii="Arial" w:hAnsi="Arial" w:cs="Arial"/>
        </w:rPr>
        <w:t xml:space="preserve"> Responses will be considered in evaluating Technical Approach.</w:t>
      </w:r>
      <w:r w:rsidR="003745F1" w:rsidRPr="00DE4209">
        <w:rPr>
          <w:rFonts w:ascii="Arial" w:hAnsi="Arial" w:cs="Arial"/>
        </w:rPr>
        <w:br/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651"/>
        <w:gridCol w:w="7"/>
      </w:tblGrid>
      <w:tr w:rsidR="00D13D7D" w:rsidRPr="00DE4209" w14:paraId="303C9602" w14:textId="77777777" w:rsidTr="00E91AD3">
        <w:trPr>
          <w:trHeight w:val="440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3DEC6071" w14:textId="427163CA" w:rsidR="00D13D7D" w:rsidRPr="00DE4209" w:rsidRDefault="003512B9" w:rsidP="00E91AD3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 w:val="22"/>
                <w:szCs w:val="22"/>
              </w:rPr>
            </w:pPr>
            <w:r w:rsidRPr="00DE4209">
              <w:rPr>
                <w:rFonts w:cs="Arial"/>
                <w:b/>
                <w:sz w:val="22"/>
                <w:szCs w:val="22"/>
              </w:rPr>
              <w:t>Technical Requirements</w:t>
            </w:r>
          </w:p>
        </w:tc>
      </w:tr>
      <w:tr w:rsidR="00D13D7D" w:rsidRPr="00DE4209" w14:paraId="51F9EBDA" w14:textId="77777777" w:rsidTr="00895E7E">
        <w:trPr>
          <w:gridAfter w:val="1"/>
          <w:wAfter w:w="7" w:type="dxa"/>
          <w:trHeight w:val="530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F53A518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1.</w:t>
            </w:r>
          </w:p>
        </w:tc>
        <w:tc>
          <w:tcPr>
            <w:tcW w:w="8651" w:type="dxa"/>
            <w:shd w:val="clear" w:color="auto" w:fill="auto"/>
          </w:tcPr>
          <w:p w14:paraId="501BB4F5" w14:textId="2D86E5EA" w:rsidR="00D13D7D" w:rsidRPr="00DE4209" w:rsidRDefault="00730B08" w:rsidP="00730B08">
            <w:pPr>
              <w:pStyle w:val="Level3"/>
              <w:ind w:left="0"/>
              <w:rPr>
                <w:rFonts w:cs="Arial"/>
                <w:sz w:val="22"/>
                <w:szCs w:val="22"/>
              </w:rPr>
            </w:pPr>
            <w:r w:rsidRPr="00DE4209">
              <w:rPr>
                <w:rFonts w:cs="Arial"/>
                <w:sz w:val="22"/>
                <w:szCs w:val="22"/>
              </w:rPr>
              <w:t>FCC Guidelines specify the need for the most accuracy possible in closed captioning.</w:t>
            </w:r>
            <w:r w:rsidR="00D13D7D" w:rsidRPr="00DE4209">
              <w:rPr>
                <w:rFonts w:cs="Arial"/>
                <w:sz w:val="22"/>
                <w:szCs w:val="22"/>
              </w:rPr>
              <w:t xml:space="preserve">  Please </w:t>
            </w:r>
            <w:r w:rsidRPr="00DE4209">
              <w:rPr>
                <w:rFonts w:cs="Arial"/>
                <w:sz w:val="22"/>
                <w:szCs w:val="22"/>
              </w:rPr>
              <w:t>describe efforts taken to measure and maintain accuracy of real time closed captioning.</w:t>
            </w:r>
          </w:p>
        </w:tc>
      </w:tr>
      <w:tr w:rsidR="00D13D7D" w:rsidRPr="00DE4209" w14:paraId="199A2B91" w14:textId="77777777" w:rsidTr="00895E7E">
        <w:trPr>
          <w:gridAfter w:val="1"/>
          <w:wAfter w:w="7" w:type="dxa"/>
          <w:trHeight w:val="624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7BD9E3A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51" w:type="dxa"/>
            <w:shd w:val="clear" w:color="auto" w:fill="auto"/>
          </w:tcPr>
          <w:p w14:paraId="70FF9F96" w14:textId="77777777" w:rsidR="00D13D7D" w:rsidRPr="00DE4209" w:rsidRDefault="00D13D7D" w:rsidP="00E91AD3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Response: </w:t>
            </w:r>
          </w:p>
        </w:tc>
      </w:tr>
      <w:tr w:rsidR="00D13D7D" w:rsidRPr="00DE4209" w14:paraId="149403ED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A8606B5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2.</w:t>
            </w:r>
          </w:p>
        </w:tc>
        <w:tc>
          <w:tcPr>
            <w:tcW w:w="8651" w:type="dxa"/>
            <w:shd w:val="clear" w:color="auto" w:fill="auto"/>
          </w:tcPr>
          <w:p w14:paraId="583C18E6" w14:textId="13B6A0A9" w:rsidR="00D13D7D" w:rsidRPr="00DE4209" w:rsidRDefault="00D13D7D" w:rsidP="0028587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Describe </w:t>
            </w:r>
            <w:r w:rsidR="00AC4F4E" w:rsidRPr="00DE4209">
              <w:rPr>
                <w:rFonts w:ascii="Arial" w:hAnsi="Arial" w:cs="Arial"/>
              </w:rPr>
              <w:t xml:space="preserve">the </w:t>
            </w:r>
            <w:r w:rsidRPr="00DE4209">
              <w:rPr>
                <w:rFonts w:ascii="Arial" w:hAnsi="Arial" w:cs="Arial"/>
              </w:rPr>
              <w:t xml:space="preserve">Bidder’s </w:t>
            </w:r>
            <w:r w:rsidR="00730B08" w:rsidRPr="00DE4209">
              <w:rPr>
                <w:rFonts w:ascii="Arial" w:hAnsi="Arial" w:cs="Arial"/>
              </w:rPr>
              <w:t>scheduling procedures</w:t>
            </w:r>
            <w:r w:rsidR="00285870" w:rsidRPr="00DE4209">
              <w:rPr>
                <w:rFonts w:ascii="Arial" w:hAnsi="Arial" w:cs="Arial"/>
              </w:rPr>
              <w:t xml:space="preserve"> for real time captioning and translation services</w:t>
            </w:r>
            <w:r w:rsidR="00730B08" w:rsidRPr="00DE4209">
              <w:rPr>
                <w:rFonts w:ascii="Arial" w:hAnsi="Arial" w:cs="Arial"/>
              </w:rPr>
              <w:t>.</w:t>
            </w:r>
            <w:r w:rsidR="00285870" w:rsidRPr="00DE4209">
              <w:rPr>
                <w:rFonts w:ascii="Arial" w:hAnsi="Arial" w:cs="Arial"/>
              </w:rPr>
              <w:t xml:space="preserve"> Please include the anticipated requirements for advance notice of both real</w:t>
            </w:r>
            <w:r w:rsidR="00261990">
              <w:rPr>
                <w:rFonts w:ascii="Arial" w:hAnsi="Arial" w:cs="Arial"/>
              </w:rPr>
              <w:t>-</w:t>
            </w:r>
            <w:r w:rsidR="00285870" w:rsidRPr="00DE4209">
              <w:rPr>
                <w:rFonts w:ascii="Arial" w:hAnsi="Arial" w:cs="Arial"/>
              </w:rPr>
              <w:t xml:space="preserve"> time captioning in English and in Spanish</w:t>
            </w:r>
            <w:r w:rsidR="00D77FAA" w:rsidRPr="00DE4209">
              <w:rPr>
                <w:rFonts w:ascii="Arial" w:hAnsi="Arial" w:cs="Arial"/>
              </w:rPr>
              <w:t xml:space="preserve"> (when the speaker is speaking </w:t>
            </w:r>
            <w:r w:rsidR="00315752" w:rsidRPr="00DE4209">
              <w:rPr>
                <w:rFonts w:ascii="Arial" w:hAnsi="Arial" w:cs="Arial"/>
              </w:rPr>
              <w:t>English,</w:t>
            </w:r>
            <w:r w:rsidR="00D77FAA" w:rsidRPr="00DE4209">
              <w:rPr>
                <w:rFonts w:ascii="Arial" w:hAnsi="Arial" w:cs="Arial"/>
              </w:rPr>
              <w:t xml:space="preserve"> but Closed Captions are in Spanish)</w:t>
            </w:r>
            <w:r w:rsidR="00285870" w:rsidRPr="00DE4209">
              <w:rPr>
                <w:rFonts w:ascii="Arial" w:hAnsi="Arial" w:cs="Arial"/>
              </w:rPr>
              <w:t>.</w:t>
            </w:r>
          </w:p>
        </w:tc>
      </w:tr>
      <w:tr w:rsidR="00D13D7D" w:rsidRPr="00DE4209" w14:paraId="03CBBF7E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0D6762CF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52464C2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  <w:r w:rsidRPr="00DE4209">
              <w:rPr>
                <w:rFonts w:cs="Arial"/>
                <w:sz w:val="22"/>
                <w:szCs w:val="22"/>
              </w:rPr>
              <w:t>Response:</w:t>
            </w:r>
          </w:p>
          <w:p w14:paraId="6DE473C5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  <w:p w14:paraId="703A3337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</w:tc>
      </w:tr>
      <w:tr w:rsidR="008E6504" w:rsidRPr="00DE4209" w14:paraId="66F2933A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3A7DF7A7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651" w:type="dxa"/>
            <w:shd w:val="clear" w:color="auto" w:fill="auto"/>
          </w:tcPr>
          <w:p w14:paraId="48906800" w14:textId="065260E1" w:rsidR="008E6504" w:rsidRPr="00DE4209" w:rsidRDefault="008E6504" w:rsidP="008E6504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After an initial live airing, programs frequently re-air outside of the 24-hour grace period allowed by the FCC for original closed captioning, and these programs need the captions corrected and re-fed. Describe Bidder’s caption cleanup procedures. Please include the anticipated requirements for turnaround time for corrected captioning in English and in Spanish</w:t>
            </w:r>
            <w:r w:rsidR="00D77FAA" w:rsidRPr="00DE4209">
              <w:rPr>
                <w:rFonts w:ascii="Arial" w:hAnsi="Arial" w:cs="Arial"/>
              </w:rPr>
              <w:t xml:space="preserve"> (when the speaker is speaking </w:t>
            </w:r>
            <w:r w:rsidR="00315752" w:rsidRPr="00DE4209">
              <w:rPr>
                <w:rFonts w:ascii="Arial" w:hAnsi="Arial" w:cs="Arial"/>
              </w:rPr>
              <w:t>English,</w:t>
            </w:r>
            <w:r w:rsidR="00D77FAA" w:rsidRPr="00DE4209">
              <w:rPr>
                <w:rFonts w:ascii="Arial" w:hAnsi="Arial" w:cs="Arial"/>
              </w:rPr>
              <w:t xml:space="preserve"> but Closed Captions are in Spanish).</w:t>
            </w:r>
          </w:p>
        </w:tc>
      </w:tr>
      <w:tr w:rsidR="008E6504" w:rsidRPr="00DE4209" w14:paraId="4F852E97" w14:textId="77777777" w:rsidTr="00895E7E">
        <w:trPr>
          <w:gridAfter w:val="1"/>
          <w:wAfter w:w="7" w:type="dxa"/>
          <w:trHeight w:val="624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03070000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3E97B101" w14:textId="77777777" w:rsidR="008E6504" w:rsidRPr="00DE4209" w:rsidRDefault="008E6504" w:rsidP="008E6504">
            <w:pPr>
              <w:rPr>
                <w:rFonts w:ascii="Arial" w:eastAsia="Calibri" w:hAnsi="Arial" w:cs="Arial"/>
              </w:rPr>
            </w:pPr>
            <w:r w:rsidRPr="00DE4209">
              <w:rPr>
                <w:rFonts w:ascii="Arial" w:eastAsia="Calibri" w:hAnsi="Arial" w:cs="Arial"/>
              </w:rPr>
              <w:t>Response:</w:t>
            </w:r>
          </w:p>
          <w:p w14:paraId="0D63FA47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  <w:tr w:rsidR="008E6504" w:rsidRPr="00DE4209" w14:paraId="39617E3B" w14:textId="77777777" w:rsidTr="00895E7E">
        <w:trPr>
          <w:gridAfter w:val="1"/>
          <w:wAfter w:w="7" w:type="dxa"/>
          <w:trHeight w:val="33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359248E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4.</w:t>
            </w:r>
          </w:p>
        </w:tc>
        <w:tc>
          <w:tcPr>
            <w:tcW w:w="8651" w:type="dxa"/>
            <w:shd w:val="clear" w:color="auto" w:fill="auto"/>
            <w:vAlign w:val="center"/>
          </w:tcPr>
          <w:p w14:paraId="160E3059" w14:textId="6FF97438" w:rsidR="008E6504" w:rsidRPr="00DE4209" w:rsidRDefault="008E6504" w:rsidP="008E650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E4209">
              <w:rPr>
                <w:rFonts w:ascii="Arial" w:hAnsi="Arial" w:cs="Arial"/>
              </w:rPr>
              <w:t>Describe Bidder’s cance</w:t>
            </w:r>
            <w:r w:rsidR="00D77FAA" w:rsidRPr="00DE4209">
              <w:rPr>
                <w:rFonts w:ascii="Arial" w:hAnsi="Arial" w:cs="Arial"/>
              </w:rPr>
              <w:t>l</w:t>
            </w:r>
            <w:r w:rsidRPr="00DE4209">
              <w:rPr>
                <w:rFonts w:ascii="Arial" w:hAnsi="Arial" w:cs="Arial"/>
              </w:rPr>
              <w:t>lation policy.</w:t>
            </w:r>
          </w:p>
        </w:tc>
      </w:tr>
      <w:tr w:rsidR="008E6504" w:rsidRPr="00DE4209" w14:paraId="1B512946" w14:textId="77777777" w:rsidTr="00895E7E">
        <w:trPr>
          <w:gridAfter w:val="1"/>
          <w:wAfter w:w="7" w:type="dxa"/>
          <w:trHeight w:val="441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6C34643D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30F66AF4" w14:textId="77777777" w:rsidR="008E6504" w:rsidRPr="00DE4209" w:rsidRDefault="008E6504" w:rsidP="008E6504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  <w:p w14:paraId="415CAC77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  <w:tr w:rsidR="008E6504" w:rsidRPr="00DE4209" w14:paraId="242B4D70" w14:textId="77777777" w:rsidTr="006B1B8D">
        <w:trPr>
          <w:gridAfter w:val="1"/>
          <w:wAfter w:w="7" w:type="dxa"/>
          <w:trHeight w:val="426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546CE5D4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5.</w:t>
            </w:r>
          </w:p>
        </w:tc>
        <w:tc>
          <w:tcPr>
            <w:tcW w:w="8651" w:type="dxa"/>
            <w:shd w:val="clear" w:color="auto" w:fill="auto"/>
          </w:tcPr>
          <w:p w14:paraId="70B9D4F2" w14:textId="0A8EBC8C" w:rsidR="008E6504" w:rsidRPr="00DE4209" w:rsidRDefault="008E6504" w:rsidP="008E6504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Describe Bidder’s ability to caption in multiple languages simultaneously in real time.</w:t>
            </w:r>
          </w:p>
        </w:tc>
      </w:tr>
      <w:tr w:rsidR="008E6504" w:rsidRPr="00DE4209" w14:paraId="51A29CCB" w14:textId="77777777" w:rsidTr="006B1B8D">
        <w:trPr>
          <w:gridAfter w:val="1"/>
          <w:wAfter w:w="7" w:type="dxa"/>
          <w:trHeight w:val="426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2C468F8A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29FD7069" w14:textId="77777777" w:rsidR="008E6504" w:rsidRPr="00DE4209" w:rsidRDefault="008E6504" w:rsidP="008E6504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  <w:p w14:paraId="7ACE265C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  <w:tr w:rsidR="008E6504" w:rsidRPr="00DE4209" w14:paraId="1218858A" w14:textId="77777777" w:rsidTr="00895E7E">
        <w:trPr>
          <w:gridAfter w:val="1"/>
          <w:wAfter w:w="7" w:type="dxa"/>
          <w:trHeight w:val="426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3A92651" w14:textId="71C943F4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6.</w:t>
            </w:r>
          </w:p>
        </w:tc>
        <w:tc>
          <w:tcPr>
            <w:tcW w:w="8651" w:type="dxa"/>
            <w:shd w:val="clear" w:color="auto" w:fill="auto"/>
          </w:tcPr>
          <w:p w14:paraId="51179E16" w14:textId="1430C3B0" w:rsidR="008E6504" w:rsidRPr="00DE4209" w:rsidRDefault="008E6504" w:rsidP="008E6504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Describe any failover plan in place to minimize interruptions due to equipment malfunction:</w:t>
            </w:r>
          </w:p>
        </w:tc>
      </w:tr>
      <w:tr w:rsidR="008E6504" w:rsidRPr="00DE4209" w14:paraId="02FDE10F" w14:textId="77777777" w:rsidTr="00895E7E">
        <w:trPr>
          <w:gridAfter w:val="1"/>
          <w:wAfter w:w="7" w:type="dxa"/>
          <w:trHeight w:val="426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51C7C6EA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7683AF49" w14:textId="77777777" w:rsidR="008E6504" w:rsidRPr="00DE4209" w:rsidRDefault="008E6504" w:rsidP="008E6504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  <w:p w14:paraId="76FA7F98" w14:textId="6499ACB6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</w:tbl>
    <w:p w14:paraId="29C8024C" w14:textId="7461B201" w:rsidR="00D13D7D" w:rsidRPr="00DE4209" w:rsidRDefault="00D13D7D"/>
    <w:sectPr w:rsidR="00D13D7D" w:rsidRPr="00DE42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4904" w14:textId="77777777" w:rsidR="00426BD2" w:rsidRDefault="00426BD2" w:rsidP="00426BD2">
      <w:pPr>
        <w:spacing w:after="0" w:line="240" w:lineRule="auto"/>
      </w:pPr>
      <w:r>
        <w:separator/>
      </w:r>
    </w:p>
  </w:endnote>
  <w:endnote w:type="continuationSeparator" w:id="0">
    <w:p w14:paraId="6E651E8A" w14:textId="77777777" w:rsidR="00426BD2" w:rsidRDefault="00426BD2" w:rsidP="0042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50739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7BD8C3" w14:textId="436F0A90" w:rsidR="00426BD2" w:rsidRPr="00426BD2" w:rsidRDefault="00426BD2" w:rsidP="00426BD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B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26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26B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26B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978" w14:textId="77777777" w:rsidR="00426BD2" w:rsidRDefault="00426BD2" w:rsidP="00426BD2">
      <w:pPr>
        <w:spacing w:after="0" w:line="240" w:lineRule="auto"/>
      </w:pPr>
      <w:r>
        <w:separator/>
      </w:r>
    </w:p>
  </w:footnote>
  <w:footnote w:type="continuationSeparator" w:id="0">
    <w:p w14:paraId="39E3CEB7" w14:textId="77777777" w:rsidR="00426BD2" w:rsidRDefault="00426BD2" w:rsidP="0042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62"/>
    <w:multiLevelType w:val="multilevel"/>
    <w:tmpl w:val="D96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B14A7"/>
    <w:multiLevelType w:val="multilevel"/>
    <w:tmpl w:val="488E00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3C36EA9"/>
    <w:multiLevelType w:val="hybridMultilevel"/>
    <w:tmpl w:val="230E4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B1"/>
    <w:rsid w:val="00004DF2"/>
    <w:rsid w:val="000138FC"/>
    <w:rsid w:val="000839E4"/>
    <w:rsid w:val="000F5C42"/>
    <w:rsid w:val="00110192"/>
    <w:rsid w:val="0011768C"/>
    <w:rsid w:val="00135AE3"/>
    <w:rsid w:val="00187771"/>
    <w:rsid w:val="00190BFA"/>
    <w:rsid w:val="001C0DC1"/>
    <w:rsid w:val="001D1002"/>
    <w:rsid w:val="001E7C2A"/>
    <w:rsid w:val="00203D34"/>
    <w:rsid w:val="00234F03"/>
    <w:rsid w:val="00261990"/>
    <w:rsid w:val="00285870"/>
    <w:rsid w:val="002B53A1"/>
    <w:rsid w:val="002F2B8B"/>
    <w:rsid w:val="00315752"/>
    <w:rsid w:val="00342FB2"/>
    <w:rsid w:val="003512B9"/>
    <w:rsid w:val="00365ADD"/>
    <w:rsid w:val="003745F1"/>
    <w:rsid w:val="00426BD2"/>
    <w:rsid w:val="004F0B2B"/>
    <w:rsid w:val="005F54E5"/>
    <w:rsid w:val="005F7D6A"/>
    <w:rsid w:val="006214D5"/>
    <w:rsid w:val="00730B08"/>
    <w:rsid w:val="00801430"/>
    <w:rsid w:val="00837ABC"/>
    <w:rsid w:val="00855A8F"/>
    <w:rsid w:val="00895E7E"/>
    <w:rsid w:val="008A0EF3"/>
    <w:rsid w:val="008E625D"/>
    <w:rsid w:val="008E6504"/>
    <w:rsid w:val="008F1F53"/>
    <w:rsid w:val="0090265C"/>
    <w:rsid w:val="00933AB1"/>
    <w:rsid w:val="009622AB"/>
    <w:rsid w:val="009961A5"/>
    <w:rsid w:val="00A22F1C"/>
    <w:rsid w:val="00A34C9D"/>
    <w:rsid w:val="00A557DE"/>
    <w:rsid w:val="00A74E90"/>
    <w:rsid w:val="00AA6950"/>
    <w:rsid w:val="00AC4F4E"/>
    <w:rsid w:val="00B2300F"/>
    <w:rsid w:val="00B32342"/>
    <w:rsid w:val="00B75843"/>
    <w:rsid w:val="00BF49F3"/>
    <w:rsid w:val="00C056E0"/>
    <w:rsid w:val="00CA5D37"/>
    <w:rsid w:val="00CF2994"/>
    <w:rsid w:val="00D13D7D"/>
    <w:rsid w:val="00D77FAA"/>
    <w:rsid w:val="00D842F3"/>
    <w:rsid w:val="00D96659"/>
    <w:rsid w:val="00DE08C1"/>
    <w:rsid w:val="00DE4209"/>
    <w:rsid w:val="00E35645"/>
    <w:rsid w:val="00E76D3D"/>
    <w:rsid w:val="00F523D4"/>
    <w:rsid w:val="00F525A4"/>
    <w:rsid w:val="00F560C7"/>
    <w:rsid w:val="00F970ED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D06C"/>
  <w15:chartTrackingRefBased/>
  <w15:docId w15:val="{96340B38-2F87-4FE5-BD56-2476241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">
    <w:name w:val="Level 5"/>
    <w:basedOn w:val="Normal"/>
    <w:link w:val="Level5Char"/>
    <w:rsid w:val="00933AB1"/>
    <w:pPr>
      <w:numPr>
        <w:ilvl w:val="4"/>
        <w:numId w:val="1"/>
      </w:numPr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sz w:val="18"/>
      <w:szCs w:val="24"/>
    </w:rPr>
  </w:style>
  <w:style w:type="character" w:styleId="CommentReference">
    <w:name w:val="annotation reference"/>
    <w:uiPriority w:val="99"/>
    <w:semiHidden/>
    <w:rsid w:val="0093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3A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B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3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B1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B1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2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2AB"/>
    <w:rPr>
      <w:color w:val="605E5C"/>
      <w:shd w:val="clear" w:color="auto" w:fill="E1DFDD"/>
    </w:rPr>
  </w:style>
  <w:style w:type="paragraph" w:customStyle="1" w:styleId="Level3">
    <w:name w:val="Level 3"/>
    <w:link w:val="Level3Char"/>
    <w:qFormat/>
    <w:rsid w:val="009622AB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9622AB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9622AB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9622AB"/>
    <w:pPr>
      <w:numPr>
        <w:ilvl w:val="5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character" w:customStyle="1" w:styleId="Level5Char">
    <w:name w:val="Level 5 Char"/>
    <w:link w:val="Level5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2">
    <w:name w:val="Level 2"/>
    <w:basedOn w:val="Heading2"/>
    <w:rsid w:val="009622AB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9622AB"/>
    <w:pPr>
      <w:keepNext w:val="0"/>
      <w:keepLines w:val="0"/>
      <w:numPr>
        <w:numId w:val="2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9622AB"/>
    <w:pPr>
      <w:numPr>
        <w:ilvl w:val="6"/>
        <w:numId w:val="2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link w:val="Level3BodyChar"/>
    <w:rsid w:val="009622A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Level2BodyChar">
    <w:name w:val="Level 2 Body Char"/>
    <w:link w:val="Level2Body"/>
    <w:rsid w:val="009622A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9622AB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character" w:customStyle="1" w:styleId="Level3BodyChar">
    <w:name w:val="Level 3 Body Char"/>
    <w:link w:val="Level3Body"/>
    <w:rsid w:val="009622AB"/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2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0265C"/>
    <w:pPr>
      <w:spacing w:after="0" w:line="240" w:lineRule="auto"/>
    </w:pPr>
  </w:style>
  <w:style w:type="paragraph" w:customStyle="1" w:styleId="Level5Body">
    <w:name w:val="Level 5 Body"/>
    <w:basedOn w:val="Normal"/>
    <w:qFormat/>
    <w:rsid w:val="00D13D7D"/>
    <w:pPr>
      <w:numPr>
        <w:ilvl w:val="4"/>
        <w:numId w:val="42"/>
      </w:numPr>
      <w:tabs>
        <w:tab w:val="num" w:pos="720"/>
      </w:tabs>
      <w:autoSpaceDE w:val="0"/>
      <w:autoSpaceDN w:val="0"/>
      <w:adjustRightInd w:val="0"/>
      <w:spacing w:after="0" w:line="240" w:lineRule="auto"/>
      <w:ind w:left="2880"/>
      <w:jc w:val="both"/>
      <w:outlineLvl w:val="4"/>
    </w:pPr>
    <w:rPr>
      <w:rFonts w:ascii="Arial" w:eastAsia="Times New Roman" w:hAnsi="Arial" w:cs="Times New Roman"/>
      <w:sz w:val="18"/>
      <w:szCs w:val="24"/>
    </w:rPr>
  </w:style>
  <w:style w:type="character" w:customStyle="1" w:styleId="Level1BodyChar">
    <w:name w:val="Level 1 Body Char"/>
    <w:basedOn w:val="DefaultParagraphFont"/>
    <w:link w:val="Level1Body"/>
    <w:rsid w:val="00D13D7D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D13D7D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D13D7D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D13D7D"/>
    <w:rPr>
      <w:rFonts w:ascii="Calibri" w:eastAsia="Calibri" w:hAnsi="Calibri" w:cs="Calibri"/>
    </w:rPr>
  </w:style>
  <w:style w:type="paragraph" w:customStyle="1" w:styleId="Default">
    <w:name w:val="Default"/>
    <w:rsid w:val="00110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D2"/>
  </w:style>
  <w:style w:type="paragraph" w:styleId="Footer">
    <w:name w:val="footer"/>
    <w:basedOn w:val="Normal"/>
    <w:link w:val="Foot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Michelle</dc:creator>
  <cp:keywords/>
  <dc:description/>
  <cp:lastModifiedBy>Caldwell, Sonya</cp:lastModifiedBy>
  <cp:revision>9</cp:revision>
  <cp:lastPrinted>2022-03-10T16:52:00Z</cp:lastPrinted>
  <dcterms:created xsi:type="dcterms:W3CDTF">2021-11-16T21:23:00Z</dcterms:created>
  <dcterms:modified xsi:type="dcterms:W3CDTF">2022-03-10T16:52:00Z</dcterms:modified>
</cp:coreProperties>
</file>